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B26F10" w:rsidP="00B26F10" w:rsidRDefault="00B26F10" w14:paraId="7FDAC50E" wp14:textId="77777777">
      <w:pPr>
        <w:jc w:val="right"/>
      </w:pPr>
      <w:bookmarkStart w:name="_GoBack" w:id="0"/>
      <w:bookmarkEnd w:id="0"/>
      <w:r w:rsidRPr="00B26F10">
        <w:rPr>
          <w:noProof/>
        </w:rPr>
        <w:drawing>
          <wp:inline xmlns:wp14="http://schemas.microsoft.com/office/word/2010/wordprocessingDrawing" distT="0" distB="0" distL="0" distR="0" wp14:anchorId="35258131" wp14:editId="7AD9F2FD">
            <wp:extent cx="2309975" cy="602615"/>
            <wp:effectExtent l="0" t="0" r="0" b="6985"/>
            <wp:docPr id="1" name="Picture 1" descr="C:\Users\JEA\Desktop\FaceBook Photos and Files\Logo1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\Desktop\FaceBook Photos and Files\Logo1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937" cy="69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D253B" w:rsidP="00B26F10" w:rsidRDefault="00B26F10" w14:paraId="18E62C0F" wp14:textId="77777777">
      <w:pPr>
        <w:tabs>
          <w:tab w:val="left" w:pos="130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19510 Van Buren Blvd F3-197</w:t>
      </w:r>
    </w:p>
    <w:p xmlns:wp14="http://schemas.microsoft.com/office/word/2010/wordml" w:rsidR="00B26F10" w:rsidP="00B26F10" w:rsidRDefault="00B26F10" w14:paraId="2A04BE70" wp14:textId="77777777">
      <w:pPr>
        <w:tabs>
          <w:tab w:val="left" w:pos="130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Riverside, CA 92508</w:t>
      </w:r>
    </w:p>
    <w:p xmlns:wp14="http://schemas.microsoft.com/office/word/2010/wordml" w:rsidR="00B26F10" w:rsidP="00B26F10" w:rsidRDefault="00B26F10" w14:paraId="7CB9B788" wp14:textId="77777777">
      <w:pPr>
        <w:tabs>
          <w:tab w:val="left" w:pos="130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>951-202-8058/951-858-6759</w:t>
      </w:r>
    </w:p>
    <w:p w:rsidR="11A0221D" w:rsidP="11A0221D" w:rsidRDefault="11A0221D" w14:noSpellErr="1" w14:paraId="667F27B8" w14:textId="429D45F6">
      <w:pPr>
        <w:pStyle w:val="Normal"/>
        <w:spacing w:after="0"/>
      </w:pPr>
    </w:p>
    <w:p w:rsidR="11A0221D" w:rsidP="11A0221D" w:rsidRDefault="11A0221D" w14:noSpellErr="1" w14:paraId="76024F9A" w14:textId="6514E16C">
      <w:pPr>
        <w:spacing w:line="285" w:lineRule="exact"/>
        <w:ind w:left="0"/>
        <w:jc w:val="center"/>
      </w:pP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SUPERVISOR OPT-OUT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1A0221D" w:rsidP="11A0221D" w:rsidRDefault="11A0221D" w14:paraId="36620853" w14:textId="10534110">
      <w:pPr>
        <w:spacing w:line="285" w:lineRule="exact"/>
        <w:ind w:left="0"/>
        <w:jc w:val="center"/>
      </w:pP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1A0221D" w:rsidP="11A0221D" w:rsidRDefault="11A0221D" w14:paraId="1893E4E5" w14:textId="45943C1A">
      <w:pPr>
        <w:spacing w:line="285" w:lineRule="exact"/>
        <w:ind w:left="0"/>
        <w:jc w:val="left"/>
      </w:pP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the current </w:t>
      </w:r>
      <w:hyperlink r:id="Rebd8a51622504e4a">
        <w:r w:rsidRPr="11A0221D" w:rsidR="11A0221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en-US"/>
          </w:rPr>
          <w:t>MOU</w:t>
        </w:r>
      </w:hyperlink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between the County of Riverside and SEIU, employees in the Supervisory bargaining unit are permitted to opt-out of paying </w:t>
      </w:r>
      <w:r w:rsidRPr="11A0221D" w:rsidR="11A0221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ANY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dues, t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his includes Maintenance of Membership and Agency Fees.  This was done as a way of preventing conflicts of interest between supervisors and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subordinates, also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represented by SEIU.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Read Article 24 </w:t>
      </w:r>
      <w:hyperlink r:id="Ra5d318b837824c91">
        <w:r w:rsidRPr="11A0221D" w:rsidR="11A0221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en-US"/>
          </w:rPr>
          <w:t>here</w:t>
        </w:r>
      </w:hyperlink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1A0221D" w:rsidP="11A0221D" w:rsidRDefault="11A0221D" w14:noSpellErr="1" w14:paraId="67910E57" w14:textId="69567040">
      <w:pPr>
        <w:spacing w:line="285" w:lineRule="exact"/>
        <w:ind w:left="0"/>
        <w:jc w:val="left"/>
      </w:pP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The opt-out process is quite simple.  Download the </w:t>
      </w:r>
      <w:hyperlink r:id="Rbd73dbb5efb14896">
        <w:r w:rsidRPr="11A0221D" w:rsidR="11A0221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en-US"/>
          </w:rPr>
          <w:t xml:space="preserve">opt-out </w:t>
        </w:r>
        <w:r w:rsidRPr="11A0221D" w:rsidR="11A0221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en-US"/>
          </w:rPr>
          <w:t>letter</w:t>
        </w:r>
      </w:hyperlink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complete it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and send, via certified mail, to SEIU 721 at 6177 River Crest Dr.  Riverside, CA 92507.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SEIU may state there are additional steps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but there is not.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SEIU will employ the usual scare tactics –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but opting out is your right under the MOU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1A0221D" w:rsidP="11A0221D" w:rsidRDefault="11A0221D" w14:paraId="2D46913F" w14:textId="784F158F">
      <w:pPr>
        <w:spacing w:line="285" w:lineRule="exact"/>
        <w:ind w:left="0"/>
        <w:jc w:val="left"/>
      </w:pP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In 2013 when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it appeared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several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non-supervisory employees were considering making </w:t>
      </w:r>
      <w:hyperlink r:id="R61c3ad5ebf494919">
        <w:r w:rsidRPr="11A0221D" w:rsidR="11A0221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en-US"/>
          </w:rPr>
          <w:t>Agency Fee</w:t>
        </w:r>
      </w:hyperlink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only payments to SEIU, a side letter was drafted and signed off by the County.  What this side letter did was prohibit employees from taking advantage of a caveat in the MOU which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benefitted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the employee.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hat resulted from this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sideletter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was this -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 an employee chooses to be an Agency Fee payer,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employee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is requir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ed to pay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FULL membership dues payments and SEIU will reimburse employees at a time of their choosing.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side letter does not specify when SEIU is required to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reimburse the county employee.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This is not acceptable!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1A0221D" w:rsidP="11A0221D" w:rsidRDefault="11A0221D" w14:paraId="043C7B51" w14:textId="75E282AD">
      <w:pPr>
        <w:spacing w:line="285" w:lineRule="exact"/>
        <w:ind w:left="0"/>
        <w:jc w:val="left"/>
      </w:pP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REAP currently represents several supervisors and non-supervisory employees.  Supervisors still need to know they have representation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  Non-supervisory employees also like the fact that REAP utilizes attorneys with extensive knowledge of California labor laws.  Although your co-worker may be well intentioned in saving your position and possibly your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career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unfortunately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they do not possess the skills necessary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to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keep the unthinkabl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 from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becoming a reality!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To become a member of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REAP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download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the </w:t>
      </w:r>
      <w:hyperlink r:id="R21b6b1c0b8cf4456">
        <w:r w:rsidRPr="11A0221D" w:rsidR="11A0221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en-US"/>
          </w:rPr>
          <w:t>3 in 1 Authorization</w:t>
        </w:r>
      </w:hyperlink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form and mail back to REAP via USPS.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1A0221D" w:rsidP="11A0221D" w:rsidRDefault="11A0221D" w14:paraId="2F1C0BF0" w14:textId="663F5BBC">
      <w:pPr>
        <w:spacing w:line="285" w:lineRule="exact"/>
        <w:ind w:left="0"/>
        <w:jc w:val="left"/>
      </w:pP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Presently, REAP cannot negotiate any contract or any other type of employee benefit due to the rules contained in the </w:t>
      </w:r>
      <w:hyperlink r:id="R8d41d0864ce24fe0">
        <w:r w:rsidRPr="11A0221D" w:rsidR="11A0221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en-US"/>
          </w:rPr>
          <w:t>Employee Relations Resolution</w:t>
        </w:r>
      </w:hyperlink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(ERR).  The ERR states there can only be one exclusive bargaining unit. 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Presently, this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is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SEIU,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but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that is also subject to change. 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Language in the ERR is slanted to favor the incumbent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organization, as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well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as, the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county.  REAP has challenged the ERR by filing a complaint with the Public Employees Relations Board (PERB)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and we expect a ruling soon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1A0221D" w:rsidP="11A0221D" w:rsidRDefault="11A0221D" w14:paraId="72457FDA" w14:textId="4BE824A8">
      <w:pPr>
        <w:spacing w:line="285" w:lineRule="exact"/>
        <w:ind w:left="0"/>
        <w:jc w:val="left"/>
      </w:pP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REAP is actively gathering signatures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to remove SEIU as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the exclusive bargaining unit. 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Help us, won’t you? 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Download the petition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for your bargaining unit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from our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web site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and mail to REAP (address above), regular USPS mail will do.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Get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all of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your SEIU represented employees to sign as well!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1A0221D" w:rsidP="11A0221D" w:rsidRDefault="11A0221D" w14:paraId="5398F527" w14:textId="753C69DC">
      <w:pPr>
        <w:spacing w:line="285" w:lineRule="exact"/>
        <w:ind w:left="0"/>
        <w:jc w:val="left"/>
      </w:pP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REAP’s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due are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$10.00 per pay period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which is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less than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$12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.00 per pay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period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SEIU currentl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y deducts from your paycheck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REAP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collect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$20.00 from our members every 28 days.  SEIU has a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desire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to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increas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e </w:t>
      </w:r>
      <w:r w:rsidRPr="11A0221D" w:rsidR="11A0221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your</w:t>
      </w:r>
      <w:r w:rsidRPr="11A0221D" w:rsidR="11A0221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dues to a percent base format rather than the current flat rate we have all become accustomed to. 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However, in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the new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contract, it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is highly likely that SEIU is going to bury a percent base dues increase which means </w:t>
      </w:r>
      <w:r w:rsidRPr="11A0221D" w:rsidR="11A0221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IF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you ever get a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raise, SEIU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also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gets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more dues money and they collect it </w:t>
      </w:r>
      <w:r w:rsidRPr="11A0221D" w:rsidR="11A0221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before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you collect your hard-earned money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1A0221D" w:rsidP="11A0221D" w:rsidRDefault="11A0221D" w14:paraId="75469F78" w14:textId="547F7B9A">
      <w:pPr>
        <w:spacing w:line="285" w:lineRule="exact"/>
        <w:ind w:left="0"/>
        <w:jc w:val="left"/>
      </w:pPr>
      <w:r w:rsidRPr="11A0221D" w:rsidR="11A0221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The time to tak</w:t>
      </w:r>
      <w:r w:rsidRPr="11A0221D" w:rsidR="11A0221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e control of your future is now!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T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he REAP Executive Board are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als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 county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employees that believe the best way to represent our members is through professionals.  When negotiating contracts,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we’ll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use professional negotiators.  When providing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representation,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we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use attorneys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  Representing public employees shouldn’t be about how much money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can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be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raise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for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next political theatre </w:t>
      </w:r>
      <w:proofErr w:type="spellStart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event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it</w:t>
      </w:r>
      <w:proofErr w:type="spellEnd"/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should be focused solely on the employee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SEIU should know better…Shameful!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1A0221D" w:rsidP="11A0221D" w:rsidRDefault="11A0221D" w14:noSpellErr="1" w14:paraId="2BD050F6" w14:textId="0C270767">
      <w:pPr>
        <w:spacing w:line="285" w:lineRule="exact"/>
        <w:ind w:left="0"/>
        <w:jc w:val="left"/>
      </w:pP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Follow REAP on Facebook at the </w:t>
      </w:r>
      <w:r w:rsidRPr="11A0221D" w:rsidR="11A0221D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u w:val="single"/>
          <w:lang w:val="en-US"/>
        </w:rPr>
        <w:t>Regional Employees Association of Professionals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…</w:t>
      </w: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1A0221D" w:rsidP="11A0221D" w:rsidRDefault="11A0221D" w14:noSpellErr="1" w14:paraId="16D2E76D" w14:textId="5649A0C5">
      <w:pPr>
        <w:spacing w:line="285" w:lineRule="exact"/>
        <w:ind w:left="0"/>
        <w:jc w:val="left"/>
      </w:pPr>
      <w:r w:rsidRPr="11A0221D" w:rsidR="11A022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Looking towards the future…</w:t>
      </w:r>
    </w:p>
    <w:p w:rsidR="11A0221D" w:rsidP="11A0221D" w:rsidRDefault="11A0221D" w14:noSpellErr="1" w14:paraId="6847FE1E" w14:textId="5BE0743E">
      <w:pPr>
        <w:pStyle w:val="Normal"/>
        <w:spacing w:after="0"/>
      </w:pPr>
    </w:p>
    <w:sectPr w:rsidRPr="00FE118B" w:rsidR="00BB4CD8" w:rsidSect="00B26F1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590A"/>
    <w:multiLevelType w:val="hybridMultilevel"/>
    <w:tmpl w:val="1728ABBC"/>
    <w:lvl w:ilvl="0" w:tplc="04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10"/>
    <w:rsid w:val="004D253B"/>
    <w:rsid w:val="005F6848"/>
    <w:rsid w:val="006232E6"/>
    <w:rsid w:val="006B6D39"/>
    <w:rsid w:val="007D1528"/>
    <w:rsid w:val="00940EE7"/>
    <w:rsid w:val="00B26F10"/>
    <w:rsid w:val="00BB4CD8"/>
    <w:rsid w:val="00BD5DCA"/>
    <w:rsid w:val="00CB2552"/>
    <w:rsid w:val="00D20FE1"/>
    <w:rsid w:val="00D97C6C"/>
    <w:rsid w:val="00DF0510"/>
    <w:rsid w:val="00FE118B"/>
    <w:rsid w:val="00FE2453"/>
    <w:rsid w:val="11A0221D"/>
    <w:rsid w:val="476BD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FB12D-769B-4EF9-B541-17C9D7798435}"/>
  <w14:docId w14:val="2DC817C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www.reap4us.org/wp-content/uploads/2016/06/SEIUMOU2012_2016.pdf" TargetMode="External" Id="Rebd8a51622504e4a" /><Relationship Type="http://schemas.openxmlformats.org/officeDocument/2006/relationships/hyperlink" Target="http://www.reap4us.org/wp-content/uploads/2016/06/Article24.pdf" TargetMode="External" Id="Ra5d318b837824c91" /><Relationship Type="http://schemas.openxmlformats.org/officeDocument/2006/relationships/hyperlink" Target="http://www.reap4us.org/wp-content/uploads/2016/06/April-Opt-Out.pdf" TargetMode="External" Id="Rbd73dbb5efb14896" /><Relationship Type="http://schemas.openxmlformats.org/officeDocument/2006/relationships/hyperlink" Target="http://www.reap4us.org/wp-content/uploads/2016/06/Agency_Shop.pdf" TargetMode="External" Id="R61c3ad5ebf494919" /><Relationship Type="http://schemas.openxmlformats.org/officeDocument/2006/relationships/hyperlink" Target="http://www.reap4us.org/wp-content/uploads/2016/06/3-in-1-authorization-form-New.pdf" TargetMode="External" Id="R21b6b1c0b8cf4456" /><Relationship Type="http://schemas.openxmlformats.org/officeDocument/2006/relationships/hyperlink" Target="http://www.reap4us.org/wp-content/uploads/2016/06/ERR-2014-156.pdf" TargetMode="External" Id="R8d41d0864ce24f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 JEA</dc:creator>
  <keywords/>
  <dc:description/>
  <lastModifiedBy>JEA JEA</lastModifiedBy>
  <revision>4</revision>
  <dcterms:created xsi:type="dcterms:W3CDTF">2017-03-21T14:17:48.2816569Z</dcterms:created>
  <dcterms:modified xsi:type="dcterms:W3CDTF">2017-03-21T14:20:59.8737136Z</dcterms:modified>
</coreProperties>
</file>